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11 (Apache licensed) using REFERENCE JAXB in Eclipse Adoptium Java 17.0.8.1 on Linux --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Conditie din 2023 de autorizare a unităţilor sanitare, publice sau private, pentru examinarea ambulatorie a persoanelor fizice în vederea procurării, deţinerii, portului şi folosirii armelor şi muniţiilor supuse autorizării</w:t>
      </w:r>
      <w:r>
        <w:br/>
      </w:r>
      <w:r>
        <w:br/>
      </w:r>
    </w:p>
    <w:p>
      <w:pPr>
        <w:pStyle w:val="NormalStyle"/>
      </w:pPr>
      <w:r>
        <w:t>Conditie din 2023 din 2023.06.19</w:t>
      </w:r>
    </w:p>
    <w:p>
      <w:pPr>
        <w:pStyle w:val="NormalStyle"/>
      </w:pPr>
      <w:r>
        <w:t xml:space="preserve">Status: Acte în vigoare </w:t>
      </w:r>
    </w:p>
    <w:p>
      <w:pPr>
        <w:pStyle w:val="NormalStyle"/>
      </w:pPr>
      <w:r>
        <w:t xml:space="preserve">Versiune de la: 19 Iunie 2023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Intră în vigoare: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19 Iunie 2023 An</w:t>
      </w:r>
    </w:p>
    <w:p>
      <w:pPr>
        <w:spacing w:after="0"/>
        <w:ind w:left="0"/>
        <w:jc w:val="left"/>
        <w:textAlignment w:val="auto"/>
      </w:pP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/>
          <w:color w:val="000000"/>
          <w:sz w:val="24"/>
          <w:lang w:val="ro-RO"/>
        </w:rPr>
        <w:t>Conditie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din </w:t>
      </w:r>
      <w:r>
        <w:rPr>
          <w:rFonts w:ascii="Times New Roman"/>
          <w:b/>
          <w:i/>
          <w:color w:val="000000"/>
          <w:sz w:val="24"/>
          <w:lang w:val="ro-RO"/>
        </w:rPr>
        <w:t>2023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de </w:t>
      </w:r>
      <w:r>
        <w:rPr>
          <w:rFonts w:ascii="Times New Roman"/>
          <w:b/>
          <w:i/>
          <w:color w:val="000000"/>
          <w:sz w:val="24"/>
          <w:lang w:val="ro-RO"/>
        </w:rPr>
        <w:t>autorizare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/>
          <w:i/>
          <w:color w:val="000000"/>
          <w:sz w:val="24"/>
          <w:lang w:val="ro-RO"/>
        </w:rPr>
        <w:t>unităţilor sanitare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, </w:t>
      </w:r>
      <w:r>
        <w:rPr>
          <w:rFonts w:ascii="Times New Roman"/>
          <w:b/>
          <w:i/>
          <w:color w:val="000000"/>
          <w:sz w:val="24"/>
          <w:lang w:val="ro-RO"/>
        </w:rPr>
        <w:t>publice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sau </w:t>
      </w:r>
      <w:r>
        <w:rPr>
          <w:rFonts w:ascii="Times New Roman"/>
          <w:b/>
          <w:i/>
          <w:color w:val="000000"/>
          <w:sz w:val="24"/>
          <w:lang w:val="ro-RO"/>
        </w:rPr>
        <w:t>private, pentru examinarea ambulatorie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/>
          <w:i/>
          <w:color w:val="000000"/>
          <w:sz w:val="24"/>
          <w:lang w:val="ro-RO"/>
        </w:rPr>
        <w:t>persoanelor fizice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/>
          <w:i/>
          <w:color w:val="000000"/>
          <w:sz w:val="24"/>
          <w:lang w:val="ro-RO"/>
        </w:rPr>
        <w:t>folosirii armelor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/>
          <w:i/>
          <w:color w:val="000000"/>
          <w:sz w:val="24"/>
          <w:lang w:val="ro-RO"/>
        </w:rPr>
        <w:t>muniţiilor supuse autorizării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Dată act: 9-iun-2023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Emitent: Ministerul Sanatatii</w:t>
      </w:r>
    </w:p>
    <w:p>
      <w:pPr>
        <w:spacing w:before="80" w:after="240"/>
        <w:ind w:left="0"/>
        <w:jc w:val="center"/>
        <w:textAlignment w:val="auto"/>
      </w:pP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 xml:space="preserve">Art. 1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(1)</w:t>
      </w:r>
      <w:r>
        <w:rPr>
          <w:rFonts w:ascii="Times New Roman"/>
          <w:b w:val="false"/>
          <w:i/>
          <w:color w:val="000000"/>
          <w:sz w:val="24"/>
          <w:lang w:val="ro-RO"/>
        </w:rPr>
        <w:t>Unităţile sanitare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,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sau </w:t>
      </w:r>
      <w:r>
        <w:rPr>
          <w:rFonts w:ascii="Times New Roman"/>
          <w:b w:val="false"/>
          <w:i/>
          <w:color w:val="000000"/>
          <w:sz w:val="24"/>
          <w:lang w:val="ro-RO"/>
        </w:rPr>
        <w:t>private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, pot solicita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autorizarea pentru examinarea ambulatorie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 w:val="false"/>
          <w:i/>
          <w:color w:val="000000"/>
          <w:sz w:val="24"/>
          <w:lang w:val="ro-RO"/>
        </w:rPr>
        <w:t>persoanelor fizice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folosirii armelor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muniţiilor supuse autorizării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în una sau mai multe dintre următoarele specialităţi: medicină internă, neurologie, psihiatrie, oftalmologie, otorinolaringologie, ortopedie-traumatologie.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(2)</w:t>
      </w:r>
      <w:r>
        <w:rPr>
          <w:rFonts w:ascii="Times New Roman"/>
          <w:b w:val="false"/>
          <w:i/>
          <w:color w:val="000000"/>
          <w:sz w:val="24"/>
          <w:lang w:val="ro-RO"/>
        </w:rPr>
        <w:t>Unităţile sanitare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care solicită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autorizarea pentru examinarea ambulatorie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 w:val="false"/>
          <w:i/>
          <w:color w:val="000000"/>
          <w:sz w:val="24"/>
          <w:lang w:val="ro-RO"/>
        </w:rPr>
        <w:t>persoanelor fizice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folosirii armelor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muniţiilor supuse autorizării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trebuie să aibă aprobată în structura organizatorică a </w:t>
      </w:r>
      <w:r>
        <w:rPr>
          <w:rFonts w:ascii="Times New Roman"/>
          <w:b w:val="false"/>
          <w:i/>
          <w:color w:val="000000"/>
          <w:sz w:val="24"/>
          <w:lang w:val="ro-RO"/>
        </w:rPr>
        <w:t>unităţii sanitare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una sau mai multe din specialităţile prevăzute la alin.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(1)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care solicită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autorizarea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(3)</w:t>
      </w:r>
      <w:r>
        <w:rPr>
          <w:rFonts w:ascii="Times New Roman"/>
          <w:b w:val="false"/>
          <w:i/>
          <w:color w:val="000000"/>
          <w:sz w:val="24"/>
          <w:lang w:val="ro-RO"/>
        </w:rPr>
        <w:t>Unităţile sanitare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</w:t>
      </w:r>
      <w:r>
        <w:rPr>
          <w:rFonts w:ascii="Times New Roman"/>
          <w:b w:val="false"/>
          <w:i/>
          <w:color w:val="000000"/>
          <w:sz w:val="24"/>
          <w:lang w:val="ro-RO"/>
        </w:rPr>
        <w:t>private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care solicită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autorizarea pentru examinarea ambulatorie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 w:val="false"/>
          <w:i/>
          <w:color w:val="000000"/>
          <w:sz w:val="24"/>
          <w:lang w:val="ro-RO"/>
        </w:rPr>
        <w:t>persoanelor fizice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folosirii armelor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muniţiilor supuse autorizării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trebuie să fie înscrise în Registrul unic al cabinetelor medicale de la nivelul direcţiei de sănătate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judeţeană sau a municipiului Bucureşti, după caz, cu una sau mai multe din specialităţile prevăzute la alin.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(1)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care solicită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autorizarea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 xml:space="preserve">Art. 2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obţinerii autorizaţiei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 examinarea ambulatorie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 w:val="false"/>
          <w:i/>
          <w:color w:val="000000"/>
          <w:sz w:val="24"/>
          <w:lang w:val="ro-RO"/>
        </w:rPr>
        <w:t>persoanelor fizice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folosirii armelor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muniţiilor supuse autorizării, unitatea sanitară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depune la direcţia de sănătate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din aria administrativ-teritorială unde îşi desfăşoară activitatea următoarele documente: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a)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cerere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emiterea autorizaţiei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 examinarea ambulatorie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 w:val="false"/>
          <w:i/>
          <w:color w:val="000000"/>
          <w:sz w:val="24"/>
          <w:lang w:val="ro-RO"/>
        </w:rPr>
        <w:t>persoanelor fizice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folosirii armelor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muniţiilor supuse autorizării, 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una sau mai multe specialităţi aprobate în structura organizatorică, sau, după caz,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una sau mai multe specialităţi cu care este înscrisă în Registrul unic al cabinetelor medicale de la nivelul direcţiei de sănătate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căreia i se adresează;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b)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copia documentului de </w:t>
      </w:r>
      <w:r>
        <w:rPr>
          <w:rFonts w:ascii="Times New Roman"/>
          <w:b w:val="false"/>
          <w:i/>
          <w:color w:val="000000"/>
          <w:sz w:val="24"/>
          <w:lang w:val="ro-RO"/>
        </w:rPr>
        <w:t>deţinere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legală a spaţiului;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c)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dovada </w:t>
      </w:r>
      <w:r>
        <w:rPr>
          <w:rFonts w:ascii="Times New Roman"/>
          <w:b w:val="false"/>
          <w:i/>
          <w:color w:val="000000"/>
          <w:sz w:val="24"/>
          <w:lang w:val="ro-RO"/>
        </w:rPr>
        <w:t>deţinerii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de către </w:t>
      </w:r>
      <w:r>
        <w:rPr>
          <w:rFonts w:ascii="Times New Roman"/>
          <w:b w:val="false"/>
          <w:i/>
          <w:color w:val="000000"/>
          <w:sz w:val="24"/>
          <w:lang w:val="ro-RO"/>
        </w:rPr>
        <w:t>unitatea sanitară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asigurării de răspundere civilă în domeniul medical;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d)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copii de pe contractele individuale de muncă sau, după caz, după contractele de prestări servicii, încheiate între </w:t>
      </w:r>
      <w:r>
        <w:rPr>
          <w:rFonts w:ascii="Times New Roman"/>
          <w:b w:val="false"/>
          <w:i/>
          <w:color w:val="000000"/>
          <w:sz w:val="24"/>
          <w:lang w:val="ro-RO"/>
        </w:rPr>
        <w:t>unitatea sanitară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personalul medico-sanitar,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specialităţile medicale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care solicită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autorizarea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, conform reglementărilor legale în vigoare;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e)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dovada dreptului de liberă practică emisă de organizaţia profesională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fiecare angajat medico-sanitar din cadrul cabinetului/cabinetelor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care se solicită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autorizarea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;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f)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dovada dotării minime obligatorii a cabinetului/cabinetelor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care se solicită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autorizarea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, conform anexei nr. 2 la Ordinul ministrului sănătăţii şi familiei nr. 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>153/2003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aprobarea 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>Normelor metodologice privind înfiinţarea, organizarea şi funcţionarea cabinetelor medicale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, cu modificările şi completările ulterioare;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g)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dovada garanţiei, întreţinerii şi verificării tehnice periodice, după caz, a aparaturii cabinetului/cabinetelor din dotarea prevăzută la lit. f).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 xml:space="preserve">Art. 3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(1)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În termen de maximum 30 de zile calendaristice de la depunerea de către unitatea solicitantă a documentelor prevăzute la art. 2 la nivelul direcţiei de sănătate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judeţene sau a municipiului Bucureşti, după caz, aceasta va emite autorizaţia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 examinarea ambulatorie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 w:val="false"/>
          <w:i/>
          <w:color w:val="000000"/>
          <w:sz w:val="24"/>
          <w:lang w:val="ro-RO"/>
        </w:rPr>
        <w:t>persoanelor fizice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folosirii armelor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muniţiilor supuse autorizării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, conform modelului prevăzut în anexă.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(2)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În cazul în care sunt constatate neconformităţi ale documentaţiei depuse, direcţia de sănătate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judeţeană sau a municipiului Bucureşti, după caz, notifică solicitantul autorizaţiei cu cel puţin 10 zile înainte de expirarea termenului prevăzut la alin.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(1),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depunerii completărilor necesare, şi comunică acestuia un termen de remediere de maximum 30 de zile.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 xml:space="preserve">Art. 4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Autorizaţia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 examinarea ambulatorie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 w:val="false"/>
          <w:i/>
          <w:color w:val="000000"/>
          <w:sz w:val="24"/>
          <w:lang w:val="ro-RO"/>
        </w:rPr>
        <w:t>persoanelor fizice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folosirii armelor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muniţiilor supuse autorizării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se avizează anual.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ANEXĂ: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AUTORIZAŢIE </w:t>
      </w:r>
      <w:r>
        <w:rPr>
          <w:rFonts w:ascii="Times New Roman"/>
          <w:b/>
          <w:i/>
          <w:color w:val="000000"/>
          <w:sz w:val="24"/>
          <w:lang w:val="ro-RO"/>
        </w:rPr>
        <w:t>pentru examinarea ambulatorie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/>
          <w:i/>
          <w:color w:val="000000"/>
          <w:sz w:val="24"/>
          <w:lang w:val="ro-RO"/>
        </w:rPr>
        <w:t>persoanelor fizice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/>
          <w:i/>
          <w:color w:val="000000"/>
          <w:sz w:val="24"/>
          <w:lang w:val="ro-RO"/>
        </w:rPr>
        <w:t>folosirii armelor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/>
          <w:i/>
          <w:color w:val="000000"/>
          <w:sz w:val="24"/>
          <w:lang w:val="ro-RO"/>
        </w:rPr>
        <w:t>muniţiilor supuse autorizării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DIRECŢIA DE SĂNĂTATE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JUDEŢULUI .................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/MUNICIPIULUI BUCUREŞTI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ro-RO"/>
        </w:rPr>
        <w:t>AUTORIZAŢIE</w:t>
      </w:r>
      <w:r>
        <w:rPr>
          <w:rFonts w:ascii="Times New Roman"/>
          <w:b/>
          <w:i/>
          <w:color w:val="000000"/>
          <w:sz w:val="24"/>
          <w:lang w:val="ro-RO"/>
        </w:rPr>
        <w:t>pentru examinarea ambulatorie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a </w:t>
      </w:r>
      <w:r>
        <w:rPr>
          <w:rFonts w:ascii="Times New Roman"/>
          <w:b/>
          <w:i/>
          <w:color w:val="000000"/>
          <w:sz w:val="24"/>
          <w:lang w:val="ro-RO"/>
        </w:rPr>
        <w:t>persoanelor fizice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în </w:t>
      </w:r>
      <w:r>
        <w:rPr>
          <w:rFonts w:ascii="Times New Roman"/>
          <w:b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/>
          <w:i/>
          <w:color w:val="000000"/>
          <w:sz w:val="24"/>
          <w:lang w:val="ro-RO"/>
        </w:rPr>
        <w:t>folosirii armelor</w:t>
      </w:r>
      <w:r>
        <w:rPr>
          <w:rFonts w:ascii="Times New Roman"/>
          <w:b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/>
          <w:i/>
          <w:color w:val="000000"/>
          <w:sz w:val="24"/>
          <w:lang w:val="ro-RO"/>
        </w:rPr>
        <w:t>muniţiilor supuse autorizării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nr. .......... din data ..............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Ca urmare a cererii unităţii ..........................................., cu sediul în ..................................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, înregistrată la Direcţia de Sănătate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Judeţului .................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/Municipiului Bucureşti cu nr. .......,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având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documentele depuse, în temeiul Hotărârii Guvernului nr. 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>11/2018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aprobarea 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 xml:space="preserve">Normelor metodologice de aplicare a Legii nr. 295/2004 privind regimul </w:t>
      </w:r>
      <w:r>
        <w:rPr>
          <w:rFonts w:ascii="Times New Roman"/>
          <w:b w:val="false"/>
          <w:i/>
          <w:color w:val="1b1b1b"/>
          <w:sz w:val="24"/>
          <w:lang w:val="ro-RO"/>
        </w:rPr>
        <w:t>armelor</w:t>
      </w:r>
      <w:r>
        <w:rPr>
          <w:rFonts w:ascii="Times New Roman"/>
          <w:b w:val="false"/>
          <w:i w:val="false"/>
          <w:color w:val="1b1b1b"/>
          <w:sz w:val="24"/>
          <w:lang w:val="ro-RO"/>
        </w:rPr>
        <w:t xml:space="preserve"> şi al </w:t>
      </w:r>
      <w:r>
        <w:rPr>
          <w:rFonts w:ascii="Times New Roman"/>
          <w:b w:val="false"/>
          <w:i/>
          <w:color w:val="1b1b1b"/>
          <w:sz w:val="24"/>
          <w:lang w:val="ro-RO"/>
        </w:rPr>
        <w:t>muniţiilor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,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Direcţia de Sănătate </w:t>
      </w:r>
      <w:r>
        <w:rPr>
          <w:rFonts w:ascii="Times New Roman"/>
          <w:b w:val="false"/>
          <w:i/>
          <w:color w:val="000000"/>
          <w:sz w:val="24"/>
          <w:lang w:val="ro-RO"/>
        </w:rPr>
        <w:t>Publică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Judeţului ....................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/Municipiului Bucureşti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autorizează unitatea sanitară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........................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</w:t>
      </w:r>
      <w:r>
        <w:rPr>
          <w:rFonts w:ascii="Times New Roman"/>
          <w:b w:val="false"/>
          <w:i/>
          <w:color w:val="000000"/>
          <w:sz w:val="24"/>
          <w:lang w:val="ro-RO"/>
        </w:rPr>
        <w:t>pentru examinarea ambulatorie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a persoanelor în </w:t>
      </w:r>
      <w:r>
        <w:rPr>
          <w:rFonts w:ascii="Times New Roman"/>
          <w:b w:val="false"/>
          <w:i/>
          <w:color w:val="000000"/>
          <w:sz w:val="24"/>
          <w:lang w:val="ro-RO"/>
        </w:rPr>
        <w:t>vederea procurării, deţinerii, portului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folosirii armelor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şi </w:t>
      </w:r>
      <w:r>
        <w:rPr>
          <w:rFonts w:ascii="Times New Roman"/>
          <w:b w:val="false"/>
          <w:i/>
          <w:color w:val="000000"/>
          <w:sz w:val="24"/>
          <w:lang w:val="ro-RO"/>
        </w:rPr>
        <w:t>muniţiilor, pentru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următoarele specialităţi: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a)medicină internă ...............................................;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b)oftalmologie ......................................................;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c)otorinolaringologie (ORL) ..................................;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d)neurologie .........................................................;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e)psihiatrie ...........................................................;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f)ortopedie-traumatologie ......................................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Prezenta autorizaţie este valabilă pe toată perioada îndeplinirii </w:t>
      </w:r>
      <w:r>
        <w:rPr>
          <w:rFonts w:ascii="Times New Roman"/>
          <w:b w:val="false"/>
          <w:i/>
          <w:color w:val="000000"/>
          <w:sz w:val="24"/>
          <w:lang w:val="ro-RO"/>
        </w:rPr>
        <w:t>condiţiilor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de </w:t>
      </w:r>
      <w:r>
        <w:rPr>
          <w:rFonts w:ascii="Times New Roman"/>
          <w:b w:val="false"/>
          <w:i/>
          <w:color w:val="000000"/>
          <w:sz w:val="24"/>
          <w:lang w:val="ro-RO"/>
        </w:rPr>
        <w:t>autorizare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>, cu avizare anuală.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Director executiv,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Numele în clar ..............................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ro-RO"/>
        </w:rPr>
        <w:t>Semnătura şi ştampila ..................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 w:val="false"/>
          <w:i/>
          <w:color w:val="000000"/>
          <w:sz w:val="24"/>
          <w:lang w:val="ro-RO"/>
        </w:rPr>
        <w:t>Publicat</w:t>
      </w:r>
      <w:r>
        <w:rPr>
          <w:rFonts w:ascii="Times New Roman"/>
          <w:b w:val="false"/>
          <w:i w:val="false"/>
          <w:color w:val="000000"/>
          <w:sz w:val="24"/>
          <w:lang w:val="ro-RO"/>
        </w:rPr>
        <w:t xml:space="preserve"> în Monitorul Oficial cu numărul 546 din data de 19 iunie </w:t>
      </w:r>
      <w:r>
        <w:rPr>
          <w:rFonts w:ascii="Times New Roman"/>
          <w:b w:val="false"/>
          <w:i/>
          <w:color w:val="000000"/>
          <w:sz w:val="24"/>
          <w:lang w:val="ro-RO"/>
        </w:rPr>
        <w:t>2023</w:t>
      </w:r>
    </w:p>
    <w:sectPr>
      <w:headerReference w:type="default" r:id="rId4"/>
      <w:pgSz w:w="11907" w:h="16839" w:code="9"/>
      <w:pgMar w:top="1440" w:right="1440" w:bottom="144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tbl>
    <w:tblPr>
      <w:tblBorders>
        <w:bottom w:val="single" w:color="FFFFFF" w:space="800"/>
      </w:tblBorders>
    </w:tblPr>
    <w:tblGrid>
      <w:gridCol w:w="4513"/>
      <w:gridCol w:w="4513"/>
    </w:tblGrid>
    <w:tr>
      <w:trPr>
        <w:trHeight w:val="2000" w:hRule="exact"/>
      </w:trPr>
      <w:tc>
        <w:tcPr>
          <w:tcW w:w="4513" w:type="dxa"/>
        </w:tcPr>
        <w:p/>
        <w:p>
          <w:r>
            <w:drawing>
              <wp:inline distT="0" distB="0" distL="0" distR="0">
                <wp:extent cx="1250000" cy="350000"/>
                <wp:effectExtent l="0" t="0" r="0" b="0"/>
                <wp:docPr id="1" name="logo" descr="logo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2" name="logo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000" cy="3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dxa"/>
        </w:tcPr>
        <w:p/>
        <w:p>
          <w:pPr>
            <w:jc w:val="right"/>
          </w:pPr>
          <w:r>
            <w:t>11.12.2024</w:t>
          </w:r>
        </w:p>
      </w:tc>
    </w:tr>
  </w:tbl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ro-RO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header.xml" Type="http://schemas.openxmlformats.org/officeDocument/2006/relationships/header" Id="rId4"/>
</Relationships>

</file>

<file path=word/_rels/header.xml.rels><?xml version="1.0" encoding="UTF-8" standalone="yes"?>
<Relationships xmlns="http://schemas.openxmlformats.org/package/2006/relationships">
    <Relationship Target="media/header_image_rId1.png" Type="http://schemas.openxmlformats.org/officeDocument/2006/relationships/image" Id="rId1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